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>Решение Думы Шалинского городского округа от 24.08.2023 года №196 «О внесении изменений в Порядок формирования, ведения и обязательного опубликования перечня муниципального имущества Шалинского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Федерации», а также порядка и условий предоставления в аренду включенного в него муниципального имущества, утвержденный решением Думы Шалинского городского округа от 30.12.2022 № 157»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03/05/05-25/00015303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"http://regulation.midural.ru/projects#npa=15303"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http://regulation.midural.ru/projects#npa=15303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20.05.2025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18.06.2025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26.06.2025 в 14:24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99" w:rsidRDefault="00886199">
      <w:r>
        <w:separator/>
      </w:r>
    </w:p>
  </w:endnote>
  <w:endnote w:type="continuationSeparator" w:id="0">
    <w:p w:rsidR="00886199" w:rsidRDefault="008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99" w:rsidRDefault="00886199">
      <w:r>
        <w:separator/>
      </w:r>
    </w:p>
  </w:footnote>
  <w:footnote w:type="continuationSeparator" w:id="0">
    <w:p w:rsidR="00886199" w:rsidRDefault="0088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1C0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86199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FBD2-C3C0-403B-9377-3F3C1999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2025-06-26T09:25:00Z</dcterms:created>
  <dcterms:modified xsi:type="dcterms:W3CDTF">2025-06-26T09:25:00Z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